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1A" w:rsidRDefault="00843B1A" w:rsidP="004C77C7">
      <w:pPr>
        <w:pStyle w:val="a3"/>
        <w:spacing w:before="0" w:beforeAutospacing="0" w:after="0" w:afterAutospacing="0"/>
        <w:jc w:val="center"/>
        <w:rPr>
          <w:rStyle w:val="a4"/>
          <w:bCs w:val="0"/>
          <w:sz w:val="42"/>
          <w:szCs w:val="42"/>
          <w:lang w:val="uk-UA"/>
        </w:rPr>
      </w:pPr>
      <w:r w:rsidRPr="00B233C8">
        <w:rPr>
          <w:rStyle w:val="a4"/>
          <w:bCs w:val="0"/>
          <w:sz w:val="42"/>
          <w:szCs w:val="42"/>
        </w:rPr>
        <w:t xml:space="preserve">«Тариф </w:t>
      </w:r>
      <w:proofErr w:type="spellStart"/>
      <w:proofErr w:type="gramStart"/>
      <w:r w:rsidRPr="00B233C8">
        <w:rPr>
          <w:rStyle w:val="a4"/>
          <w:bCs w:val="0"/>
          <w:sz w:val="42"/>
          <w:szCs w:val="42"/>
        </w:rPr>
        <w:t>р</w:t>
      </w:r>
      <w:proofErr w:type="gramEnd"/>
      <w:r w:rsidRPr="00B233C8">
        <w:rPr>
          <w:rStyle w:val="a4"/>
          <w:bCs w:val="0"/>
          <w:sz w:val="42"/>
          <w:szCs w:val="42"/>
        </w:rPr>
        <w:t>ічний</w:t>
      </w:r>
      <w:proofErr w:type="spellEnd"/>
      <w:r w:rsidRPr="00B233C8">
        <w:rPr>
          <w:rStyle w:val="a4"/>
          <w:bCs w:val="0"/>
          <w:sz w:val="42"/>
          <w:szCs w:val="42"/>
        </w:rPr>
        <w:t>»</w:t>
      </w:r>
    </w:p>
    <w:p w:rsidR="00173A57" w:rsidRPr="00D97AA9" w:rsidRDefault="00B233C8" w:rsidP="00D97AA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  <w:u w:val="single"/>
          <w:lang w:val="uk-UA"/>
        </w:rPr>
      </w:pPr>
      <w:r w:rsidRPr="00087EBC">
        <w:rPr>
          <w:bCs/>
          <w:color w:val="000000" w:themeColor="text1"/>
          <w:sz w:val="28"/>
          <w:szCs w:val="28"/>
          <w:lang w:val="uk-UA"/>
        </w:rPr>
        <w:t>(</w:t>
      </w:r>
      <w:r>
        <w:rPr>
          <w:bCs/>
          <w:color w:val="000000" w:themeColor="text1"/>
          <w:sz w:val="28"/>
          <w:szCs w:val="28"/>
          <w:lang w:val="uk-UA"/>
        </w:rPr>
        <w:t xml:space="preserve">діє </w:t>
      </w:r>
      <w:r w:rsidRPr="00087EBC">
        <w:rPr>
          <w:bCs/>
          <w:color w:val="000000" w:themeColor="text1"/>
          <w:sz w:val="28"/>
          <w:szCs w:val="28"/>
          <w:u w:val="single"/>
          <w:lang w:val="uk-UA"/>
        </w:rPr>
        <w:t>з 1 травня 2021  року по 30 квітня 2022 року</w:t>
      </w:r>
      <w:r>
        <w:rPr>
          <w:bCs/>
          <w:color w:val="000000" w:themeColor="text1"/>
          <w:sz w:val="28"/>
          <w:szCs w:val="28"/>
          <w:u w:val="single"/>
          <w:lang w:val="uk-UA"/>
        </w:rPr>
        <w:t>)</w:t>
      </w:r>
    </w:p>
    <w:p w:rsidR="00843B1A" w:rsidRPr="00087EBC" w:rsidRDefault="00843B1A" w:rsidP="004C77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87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З 1 травня 2021 року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,</w:t>
      </w:r>
      <w:r w:rsidRPr="00087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B50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виконання</w:t>
      </w:r>
      <w:r w:rsidRPr="00B50C62">
        <w:rPr>
          <w:rFonts w:ascii="Arial" w:eastAsia="Times New Roman" w:hAnsi="Arial" w:cs="Arial"/>
          <w:color w:val="1C17D8"/>
          <w:sz w:val="30"/>
          <w:szCs w:val="30"/>
          <w:lang w:val="uk-UA" w:eastAsia="ru-RU"/>
        </w:rPr>
        <w:t xml:space="preserve"> </w:t>
      </w:r>
      <w:r w:rsidRPr="00B50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постанови </w:t>
      </w:r>
      <w:r w:rsidR="00F01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НКРЕКП</w:t>
      </w:r>
      <w:r w:rsidRPr="00B50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572 від 07.04.2021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087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 замовчуванням відбувається автоматичний перехід всіх споживачів на умови постачання природного газу</w:t>
      </w:r>
      <w:r w:rsidRPr="00087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87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 базовою  річною  пропозицією постачальника.</w:t>
      </w:r>
    </w:p>
    <w:p w:rsidR="00843B1A" w:rsidRPr="00B233C8" w:rsidRDefault="00843B1A" w:rsidP="004C77C7">
      <w:pPr>
        <w:pStyle w:val="a3"/>
        <w:spacing w:before="0" w:beforeAutospacing="0" w:after="0" w:afterAutospacing="0"/>
        <w:jc w:val="both"/>
        <w:rPr>
          <w:rStyle w:val="a4"/>
          <w:sz w:val="30"/>
          <w:szCs w:val="30"/>
          <w:u w:val="single"/>
        </w:rPr>
      </w:pPr>
      <w:r w:rsidRPr="00B233C8">
        <w:rPr>
          <w:rStyle w:val="a4"/>
          <w:sz w:val="30"/>
          <w:szCs w:val="30"/>
          <w:u w:val="single"/>
        </w:rPr>
        <w:t xml:space="preserve">Особливості </w:t>
      </w:r>
      <w:r w:rsidR="00397E1C" w:rsidRPr="00B233C8">
        <w:rPr>
          <w:rStyle w:val="a4"/>
          <w:sz w:val="30"/>
          <w:szCs w:val="30"/>
          <w:u w:val="single"/>
        </w:rPr>
        <w:t>тарифу річного</w:t>
      </w:r>
      <w:r w:rsidRPr="00B233C8">
        <w:rPr>
          <w:rStyle w:val="a4"/>
          <w:sz w:val="30"/>
          <w:szCs w:val="30"/>
          <w:u w:val="single"/>
        </w:rPr>
        <w:t>:</w:t>
      </w:r>
    </w:p>
    <w:p w:rsidR="00B233C8" w:rsidRPr="00B233C8" w:rsidRDefault="00B233C8" w:rsidP="004C77C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даний тарифний план встановлюється </w:t>
      </w:r>
      <w:r w:rsidRPr="00087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автоматично з 01.05.2021р.  без о</w:t>
      </w:r>
      <w:r w:rsidRPr="0039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формлення додаткових документів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клієнтом;</w:t>
      </w:r>
    </w:p>
    <w:p w:rsidR="00843B1A" w:rsidRPr="00087EBC" w:rsidRDefault="00843B1A" w:rsidP="004C77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87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умови</w:t>
      </w:r>
      <w:r w:rsidRPr="00087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базової річної пропозиції </w:t>
      </w:r>
      <w:r w:rsidRPr="00087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є обов`язковими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для споживачів, а також  </w:t>
      </w:r>
      <w:r w:rsidRPr="00087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не можуть змінюватись </w:t>
      </w:r>
      <w:r w:rsidRPr="00087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постачальником протягом строку її дії;</w:t>
      </w:r>
    </w:p>
    <w:p w:rsidR="00843B1A" w:rsidRPr="00087EBC" w:rsidRDefault="00843B1A" w:rsidP="004C77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87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строк дії</w:t>
      </w:r>
      <w:r w:rsidRPr="00087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базової річної пропозиції </w:t>
      </w:r>
      <w:r w:rsidRPr="00087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не залежить від початку</w:t>
      </w:r>
      <w:r w:rsidRPr="00087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постачання газу споживачу та </w:t>
      </w:r>
      <w:r w:rsidRPr="00087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триває до </w:t>
      </w:r>
      <w:r w:rsidRPr="00087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val="uk-UA" w:eastAsia="ru-RU"/>
        </w:rPr>
        <w:t>30 квітня 2022 року</w:t>
      </w:r>
      <w:r w:rsidRPr="00087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4C77C7" w:rsidRPr="004C77C7" w:rsidRDefault="00843B1A" w:rsidP="004C77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87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ціна газу фікс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ована</w:t>
      </w:r>
      <w:r w:rsidRPr="00087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39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протягом цього строку не може </w:t>
      </w:r>
      <w:r w:rsidRPr="00087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збільшувати</w:t>
      </w:r>
      <w:r w:rsidR="00B23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ся</w:t>
      </w:r>
      <w:r w:rsidR="00397E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;</w:t>
      </w:r>
    </w:p>
    <w:p w:rsidR="004C77C7" w:rsidRPr="004C77C7" w:rsidRDefault="004C77C7" w:rsidP="004C77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C7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передавати показники лічильника і сплачувати за газ потрібно як і раніше.</w:t>
      </w:r>
    </w:p>
    <w:p w:rsidR="00D97AA9" w:rsidRDefault="00843B1A" w:rsidP="004C7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087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    </w:t>
      </w:r>
      <w:r w:rsidRPr="00087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Споживач має право перейти</w:t>
      </w:r>
      <w:r w:rsidRPr="00087E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 </w:t>
      </w:r>
      <w:r w:rsidRPr="00087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на іншу комерційну пропозицію</w:t>
      </w:r>
      <w:r w:rsidRPr="00087E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, що пропонується постачальником (місячну, квартальну, сезону, будь-яку іншу). Для цього необхідно оформити та надати постачальнику нову заяву–приєднання, а також пройти ідентифікацію споживача.</w:t>
      </w:r>
    </w:p>
    <w:p w:rsidR="00173A57" w:rsidRPr="00D97AA9" w:rsidRDefault="00D97AA9" w:rsidP="00D97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97AA9">
        <w:rPr>
          <w:lang w:val="uk-UA"/>
        </w:rPr>
        <w:t xml:space="preserve"> </w:t>
      </w:r>
      <w:r w:rsidR="000C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разі зміни споживачем базового річного тарифу</w:t>
      </w:r>
      <w:r w:rsidRPr="00D97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іншу комерційн</w:t>
      </w:r>
      <w:r w:rsidR="000C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пропозицію</w:t>
      </w:r>
      <w:r w:rsidRPr="00D97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протягом строку дії базової річної пропозиції </w:t>
      </w:r>
      <w:r w:rsidR="000C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(з 01 травня по 30 квітня) </w:t>
      </w:r>
      <w:r w:rsidRPr="00D97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C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товариство </w:t>
      </w:r>
      <w:r w:rsidRPr="00D97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має право відмовити повторно постачати споживач</w:t>
      </w:r>
      <w:r w:rsidR="000C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природний газ у рамках базового річного тарифу</w:t>
      </w:r>
      <w:r w:rsidRPr="00D97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поточному році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73A57" w:rsidRPr="00D97AA9" w:rsidRDefault="00397E1C" w:rsidP="00D97AA9">
      <w:pPr>
        <w:pStyle w:val="a3"/>
        <w:spacing w:before="0" w:beforeAutospacing="0" w:after="0" w:afterAutospacing="0"/>
        <w:jc w:val="center"/>
        <w:rPr>
          <w:b/>
          <w:bCs/>
          <w:sz w:val="42"/>
          <w:szCs w:val="42"/>
          <w:lang w:val="uk-UA"/>
        </w:rPr>
      </w:pPr>
      <w:r>
        <w:rPr>
          <w:rStyle w:val="a4"/>
          <w:sz w:val="42"/>
          <w:szCs w:val="42"/>
          <w:lang w:val="uk-UA"/>
        </w:rPr>
        <w:t>«</w:t>
      </w:r>
      <w:r w:rsidRPr="00D97AA9">
        <w:rPr>
          <w:rStyle w:val="a4"/>
          <w:sz w:val="42"/>
          <w:szCs w:val="42"/>
          <w:lang w:val="uk-UA"/>
        </w:rPr>
        <w:t xml:space="preserve">Тариф </w:t>
      </w:r>
      <w:r>
        <w:rPr>
          <w:rStyle w:val="a4"/>
          <w:sz w:val="42"/>
          <w:szCs w:val="42"/>
          <w:lang w:val="uk-UA"/>
        </w:rPr>
        <w:t>місячний»</w:t>
      </w:r>
    </w:p>
    <w:p w:rsidR="00397E1C" w:rsidRPr="00B233C8" w:rsidRDefault="00B233C8" w:rsidP="00835EE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233C8">
        <w:rPr>
          <w:color w:val="000000" w:themeColor="text1"/>
          <w:sz w:val="28"/>
          <w:szCs w:val="28"/>
          <w:lang w:val="uk-UA"/>
        </w:rPr>
        <w:t>Ціна газу у межах «Тарифу м</w:t>
      </w:r>
      <w:r w:rsidR="007B3D8A">
        <w:rPr>
          <w:color w:val="000000" w:themeColor="text1"/>
          <w:sz w:val="28"/>
          <w:szCs w:val="28"/>
          <w:lang w:val="uk-UA"/>
        </w:rPr>
        <w:t>ісячний»</w:t>
      </w:r>
      <w:r w:rsidR="00397E1C" w:rsidRPr="00B233C8">
        <w:rPr>
          <w:color w:val="000000" w:themeColor="text1"/>
          <w:sz w:val="28"/>
          <w:szCs w:val="28"/>
          <w:lang w:val="uk-UA"/>
        </w:rPr>
        <w:t xml:space="preserve"> буде ринковою. Її можна буде дізнатись на сайті  ДП «</w:t>
      </w:r>
      <w:hyperlink r:id="rId6" w:history="1">
        <w:r w:rsidR="00397E1C" w:rsidRPr="00B233C8">
          <w:rPr>
            <w:color w:val="000000" w:themeColor="text1"/>
            <w:sz w:val="28"/>
            <w:szCs w:val="28"/>
            <w:lang w:val="uk-UA"/>
          </w:rPr>
          <w:t>Полум'я</w:t>
        </w:r>
        <w:r w:rsidR="007B3D8A">
          <w:rPr>
            <w:color w:val="000000" w:themeColor="text1"/>
            <w:sz w:val="28"/>
            <w:szCs w:val="28"/>
            <w:lang w:val="uk-UA"/>
          </w:rPr>
          <w:t>»</w:t>
        </w:r>
        <w:r w:rsidR="00397E1C" w:rsidRPr="00B233C8">
          <w:rPr>
            <w:color w:val="000000" w:themeColor="text1"/>
            <w:sz w:val="28"/>
            <w:szCs w:val="28"/>
            <w:lang w:val="uk-UA"/>
          </w:rPr>
          <w:t xml:space="preserve"> </w:t>
        </w:r>
      </w:hyperlink>
      <w:r w:rsidR="00397E1C" w:rsidRPr="00B233C8">
        <w:rPr>
          <w:color w:val="000000" w:themeColor="text1"/>
          <w:sz w:val="28"/>
          <w:szCs w:val="28"/>
          <w:lang w:val="uk-UA"/>
        </w:rPr>
        <w:t>. Ціну публікуватимуть за 5 днів до початку періоду постачання.</w:t>
      </w:r>
    </w:p>
    <w:p w:rsidR="00397E1C" w:rsidRDefault="00397E1C" w:rsidP="00835EEE">
      <w:pPr>
        <w:pStyle w:val="a3"/>
        <w:spacing w:before="0" w:beforeAutospacing="0" w:after="0" w:afterAutospacing="0"/>
        <w:jc w:val="both"/>
      </w:pPr>
      <w:proofErr w:type="spellStart"/>
      <w:r w:rsidRPr="00397E1C">
        <w:rPr>
          <w:rStyle w:val="a4"/>
          <w:sz w:val="30"/>
          <w:szCs w:val="30"/>
          <w:u w:val="single"/>
        </w:rPr>
        <w:t>Особливості</w:t>
      </w:r>
      <w:proofErr w:type="spellEnd"/>
      <w:r w:rsidRPr="00397E1C">
        <w:rPr>
          <w:rStyle w:val="a4"/>
          <w:sz w:val="30"/>
          <w:szCs w:val="30"/>
          <w:u w:val="single"/>
        </w:rPr>
        <w:t xml:space="preserve"> тарифу</w:t>
      </w:r>
      <w:r>
        <w:rPr>
          <w:rStyle w:val="a4"/>
          <w:sz w:val="30"/>
          <w:szCs w:val="30"/>
          <w:u w:val="single"/>
          <w:lang w:val="uk-UA"/>
        </w:rPr>
        <w:t xml:space="preserve"> </w:t>
      </w:r>
      <w:proofErr w:type="gramStart"/>
      <w:r>
        <w:rPr>
          <w:rStyle w:val="a4"/>
          <w:sz w:val="30"/>
          <w:szCs w:val="30"/>
          <w:u w:val="single"/>
          <w:lang w:val="uk-UA"/>
        </w:rPr>
        <w:t>м</w:t>
      </w:r>
      <w:proofErr w:type="gramEnd"/>
      <w:r>
        <w:rPr>
          <w:rStyle w:val="a4"/>
          <w:sz w:val="30"/>
          <w:szCs w:val="30"/>
          <w:u w:val="single"/>
          <w:lang w:val="uk-UA"/>
        </w:rPr>
        <w:t>ісячного</w:t>
      </w:r>
      <w:r>
        <w:rPr>
          <w:rStyle w:val="a4"/>
          <w:sz w:val="30"/>
          <w:szCs w:val="30"/>
        </w:rPr>
        <w:t>:</w:t>
      </w:r>
    </w:p>
    <w:p w:rsidR="00397E1C" w:rsidRPr="00B233C8" w:rsidRDefault="00397E1C" w:rsidP="00835EEE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right="600" w:hanging="294"/>
        <w:jc w:val="both"/>
        <w:rPr>
          <w:sz w:val="28"/>
          <w:szCs w:val="28"/>
        </w:rPr>
      </w:pPr>
      <w:proofErr w:type="spellStart"/>
      <w:r w:rsidRPr="00B233C8">
        <w:rPr>
          <w:sz w:val="28"/>
          <w:szCs w:val="28"/>
        </w:rPr>
        <w:t>ціна</w:t>
      </w:r>
      <w:proofErr w:type="spellEnd"/>
      <w:r w:rsidRPr="00B233C8">
        <w:rPr>
          <w:sz w:val="28"/>
          <w:szCs w:val="28"/>
        </w:rPr>
        <w:t xml:space="preserve"> </w:t>
      </w:r>
      <w:proofErr w:type="gramStart"/>
      <w:r w:rsidRPr="00B233C8">
        <w:rPr>
          <w:sz w:val="28"/>
          <w:szCs w:val="28"/>
        </w:rPr>
        <w:t>на</w:t>
      </w:r>
      <w:proofErr w:type="gramEnd"/>
      <w:r w:rsidRPr="00B233C8">
        <w:rPr>
          <w:sz w:val="28"/>
          <w:szCs w:val="28"/>
        </w:rPr>
        <w:t xml:space="preserve"> газ є </w:t>
      </w:r>
      <w:proofErr w:type="spellStart"/>
      <w:r w:rsidRPr="00B233C8">
        <w:rPr>
          <w:sz w:val="28"/>
          <w:szCs w:val="28"/>
        </w:rPr>
        <w:t>ринковою</w:t>
      </w:r>
      <w:proofErr w:type="spellEnd"/>
      <w:r w:rsidRPr="00B233C8">
        <w:rPr>
          <w:sz w:val="28"/>
          <w:szCs w:val="28"/>
        </w:rPr>
        <w:t xml:space="preserve"> і </w:t>
      </w:r>
      <w:proofErr w:type="spellStart"/>
      <w:r w:rsidRPr="00B233C8">
        <w:rPr>
          <w:sz w:val="28"/>
          <w:szCs w:val="28"/>
        </w:rPr>
        <w:t>встановлюється</w:t>
      </w:r>
      <w:proofErr w:type="spellEnd"/>
      <w:r w:rsidRPr="00B233C8">
        <w:rPr>
          <w:sz w:val="28"/>
          <w:szCs w:val="28"/>
        </w:rPr>
        <w:t xml:space="preserve"> </w:t>
      </w:r>
      <w:proofErr w:type="spellStart"/>
      <w:r w:rsidRPr="00B233C8">
        <w:rPr>
          <w:sz w:val="28"/>
          <w:szCs w:val="28"/>
        </w:rPr>
        <w:t>щомісяця</w:t>
      </w:r>
      <w:proofErr w:type="spellEnd"/>
      <w:r w:rsidRPr="00B233C8">
        <w:rPr>
          <w:sz w:val="28"/>
          <w:szCs w:val="28"/>
          <w:lang w:val="uk-UA"/>
        </w:rPr>
        <w:t>;</w:t>
      </w:r>
    </w:p>
    <w:p w:rsidR="00397E1C" w:rsidRPr="00B233C8" w:rsidRDefault="00397E1C" w:rsidP="00397E1C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right="600" w:hanging="294"/>
        <w:jc w:val="both"/>
        <w:rPr>
          <w:sz w:val="28"/>
          <w:szCs w:val="28"/>
        </w:rPr>
      </w:pPr>
      <w:proofErr w:type="spellStart"/>
      <w:r w:rsidRPr="00B233C8">
        <w:rPr>
          <w:sz w:val="28"/>
          <w:szCs w:val="28"/>
        </w:rPr>
        <w:t>клієнт</w:t>
      </w:r>
      <w:proofErr w:type="spellEnd"/>
      <w:r w:rsidRPr="00B233C8">
        <w:rPr>
          <w:sz w:val="28"/>
          <w:szCs w:val="28"/>
          <w:lang w:val="uk-UA"/>
        </w:rPr>
        <w:t>и</w:t>
      </w:r>
      <w:r w:rsidRPr="00B233C8">
        <w:rPr>
          <w:sz w:val="28"/>
          <w:szCs w:val="28"/>
        </w:rPr>
        <w:t xml:space="preserve"> </w:t>
      </w:r>
      <w:r w:rsidRPr="00B233C8">
        <w:rPr>
          <w:sz w:val="28"/>
          <w:szCs w:val="28"/>
          <w:lang w:val="uk-UA"/>
        </w:rPr>
        <w:t>мають</w:t>
      </w:r>
      <w:r w:rsidRPr="00B233C8">
        <w:rPr>
          <w:sz w:val="28"/>
          <w:szCs w:val="28"/>
        </w:rPr>
        <w:t xml:space="preserve"> </w:t>
      </w:r>
      <w:proofErr w:type="spellStart"/>
      <w:r w:rsidRPr="00B233C8">
        <w:rPr>
          <w:sz w:val="28"/>
          <w:szCs w:val="28"/>
        </w:rPr>
        <w:t>можливість</w:t>
      </w:r>
      <w:proofErr w:type="spellEnd"/>
      <w:r w:rsidRPr="00B233C8">
        <w:rPr>
          <w:sz w:val="28"/>
          <w:szCs w:val="28"/>
        </w:rPr>
        <w:t xml:space="preserve"> </w:t>
      </w:r>
      <w:proofErr w:type="spellStart"/>
      <w:r w:rsidRPr="00B233C8">
        <w:rPr>
          <w:sz w:val="28"/>
          <w:szCs w:val="28"/>
        </w:rPr>
        <w:t>зекономити</w:t>
      </w:r>
      <w:proofErr w:type="spellEnd"/>
      <w:r w:rsidRPr="00B233C8">
        <w:rPr>
          <w:sz w:val="28"/>
          <w:szCs w:val="28"/>
        </w:rPr>
        <w:t xml:space="preserve">, </w:t>
      </w:r>
      <w:proofErr w:type="spellStart"/>
      <w:r w:rsidRPr="00B233C8">
        <w:rPr>
          <w:sz w:val="28"/>
          <w:szCs w:val="28"/>
        </w:rPr>
        <w:t>якщо</w:t>
      </w:r>
      <w:proofErr w:type="spellEnd"/>
      <w:r w:rsidRPr="00B233C8">
        <w:rPr>
          <w:sz w:val="28"/>
          <w:szCs w:val="28"/>
        </w:rPr>
        <w:t xml:space="preserve"> газ </w:t>
      </w:r>
      <w:proofErr w:type="spellStart"/>
      <w:r w:rsidRPr="00B233C8">
        <w:rPr>
          <w:sz w:val="28"/>
          <w:szCs w:val="28"/>
        </w:rPr>
        <w:t>подешевша</w:t>
      </w:r>
      <w:proofErr w:type="gramStart"/>
      <w:r w:rsidRPr="00B233C8">
        <w:rPr>
          <w:sz w:val="28"/>
          <w:szCs w:val="28"/>
        </w:rPr>
        <w:t>є</w:t>
      </w:r>
      <w:proofErr w:type="spellEnd"/>
      <w:r w:rsidRPr="00B233C8">
        <w:rPr>
          <w:sz w:val="28"/>
          <w:szCs w:val="28"/>
          <w:lang w:val="uk-UA"/>
        </w:rPr>
        <w:t>;</w:t>
      </w:r>
      <w:proofErr w:type="gramEnd"/>
    </w:p>
    <w:p w:rsidR="00397E1C" w:rsidRPr="00B233C8" w:rsidRDefault="00397E1C" w:rsidP="004C77C7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B233C8">
        <w:rPr>
          <w:sz w:val="28"/>
          <w:szCs w:val="28"/>
          <w:lang w:val="uk-UA"/>
        </w:rPr>
        <w:t>п</w:t>
      </w:r>
      <w:proofErr w:type="spellStart"/>
      <w:r w:rsidRPr="00B233C8">
        <w:rPr>
          <w:sz w:val="28"/>
          <w:szCs w:val="28"/>
        </w:rPr>
        <w:t>роцедура</w:t>
      </w:r>
      <w:proofErr w:type="spellEnd"/>
      <w:r w:rsidRPr="00B233C8">
        <w:rPr>
          <w:sz w:val="28"/>
          <w:szCs w:val="28"/>
        </w:rPr>
        <w:t xml:space="preserve"> </w:t>
      </w:r>
      <w:proofErr w:type="spellStart"/>
      <w:r w:rsidRPr="00B233C8">
        <w:rPr>
          <w:sz w:val="28"/>
          <w:szCs w:val="28"/>
        </w:rPr>
        <w:t>передачі</w:t>
      </w:r>
      <w:proofErr w:type="spellEnd"/>
      <w:r w:rsidRPr="00B233C8">
        <w:rPr>
          <w:sz w:val="28"/>
          <w:szCs w:val="28"/>
        </w:rPr>
        <w:t xml:space="preserve"> </w:t>
      </w:r>
      <w:proofErr w:type="spellStart"/>
      <w:r w:rsidRPr="00B233C8">
        <w:rPr>
          <w:sz w:val="28"/>
          <w:szCs w:val="28"/>
        </w:rPr>
        <w:t>показників</w:t>
      </w:r>
      <w:proofErr w:type="spellEnd"/>
      <w:r w:rsidRPr="00B233C8">
        <w:rPr>
          <w:sz w:val="28"/>
          <w:szCs w:val="28"/>
        </w:rPr>
        <w:t xml:space="preserve"> </w:t>
      </w:r>
      <w:proofErr w:type="spellStart"/>
      <w:r w:rsidRPr="00B233C8">
        <w:rPr>
          <w:sz w:val="28"/>
          <w:szCs w:val="28"/>
        </w:rPr>
        <w:t>лічильника</w:t>
      </w:r>
      <w:proofErr w:type="spellEnd"/>
      <w:r w:rsidRPr="00B233C8">
        <w:rPr>
          <w:sz w:val="28"/>
          <w:szCs w:val="28"/>
        </w:rPr>
        <w:t xml:space="preserve"> та </w:t>
      </w:r>
      <w:proofErr w:type="spellStart"/>
      <w:r w:rsidRPr="00B233C8">
        <w:rPr>
          <w:sz w:val="28"/>
          <w:szCs w:val="28"/>
        </w:rPr>
        <w:t>сплати</w:t>
      </w:r>
      <w:proofErr w:type="spellEnd"/>
      <w:r w:rsidRPr="00B233C8">
        <w:rPr>
          <w:sz w:val="28"/>
          <w:szCs w:val="28"/>
        </w:rPr>
        <w:t xml:space="preserve"> за газ не </w:t>
      </w:r>
      <w:proofErr w:type="spellStart"/>
      <w:r w:rsidRPr="00B233C8">
        <w:rPr>
          <w:sz w:val="28"/>
          <w:szCs w:val="28"/>
        </w:rPr>
        <w:t>змінюється</w:t>
      </w:r>
      <w:proofErr w:type="spellEnd"/>
      <w:r w:rsidRPr="00B233C8">
        <w:rPr>
          <w:sz w:val="28"/>
          <w:szCs w:val="28"/>
        </w:rPr>
        <w:t>.</w:t>
      </w:r>
    </w:p>
    <w:p w:rsidR="00397E1C" w:rsidRPr="00173A57" w:rsidRDefault="00397E1C" w:rsidP="004C77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173A57">
        <w:rPr>
          <w:sz w:val="28"/>
          <w:szCs w:val="28"/>
          <w:u w:val="single"/>
        </w:rPr>
        <w:t xml:space="preserve">Для </w:t>
      </w:r>
      <w:proofErr w:type="spellStart"/>
      <w:r w:rsidRPr="00173A57">
        <w:rPr>
          <w:sz w:val="28"/>
          <w:szCs w:val="28"/>
          <w:u w:val="single"/>
        </w:rPr>
        <w:t>придбання</w:t>
      </w:r>
      <w:proofErr w:type="spellEnd"/>
      <w:r w:rsidRPr="00173A57">
        <w:rPr>
          <w:sz w:val="28"/>
          <w:szCs w:val="28"/>
          <w:u w:val="single"/>
        </w:rPr>
        <w:t xml:space="preserve"> </w:t>
      </w:r>
      <w:proofErr w:type="gramStart"/>
      <w:r w:rsidRPr="00173A57">
        <w:rPr>
          <w:sz w:val="28"/>
          <w:szCs w:val="28"/>
          <w:u w:val="single"/>
        </w:rPr>
        <w:t>природного</w:t>
      </w:r>
      <w:proofErr w:type="gramEnd"/>
      <w:r w:rsidRPr="00173A57">
        <w:rPr>
          <w:sz w:val="28"/>
          <w:szCs w:val="28"/>
          <w:u w:val="single"/>
        </w:rPr>
        <w:t xml:space="preserve"> газу на </w:t>
      </w:r>
      <w:proofErr w:type="spellStart"/>
      <w:r w:rsidRPr="00173A57">
        <w:rPr>
          <w:sz w:val="28"/>
          <w:szCs w:val="28"/>
          <w:u w:val="single"/>
        </w:rPr>
        <w:t>умовах</w:t>
      </w:r>
      <w:proofErr w:type="spellEnd"/>
      <w:r w:rsidRPr="00173A57">
        <w:rPr>
          <w:sz w:val="28"/>
          <w:szCs w:val="28"/>
          <w:u w:val="single"/>
        </w:rPr>
        <w:t xml:space="preserve"> </w:t>
      </w:r>
      <w:r w:rsidRPr="00173A57">
        <w:rPr>
          <w:sz w:val="28"/>
          <w:szCs w:val="28"/>
          <w:u w:val="single"/>
          <w:lang w:val="uk-UA"/>
        </w:rPr>
        <w:t>«Т</w:t>
      </w:r>
      <w:proofErr w:type="spellStart"/>
      <w:r w:rsidRPr="00173A57">
        <w:rPr>
          <w:sz w:val="28"/>
          <w:szCs w:val="28"/>
          <w:u w:val="single"/>
        </w:rPr>
        <w:t>арифу</w:t>
      </w:r>
      <w:proofErr w:type="spellEnd"/>
      <w:r w:rsidRPr="00173A57">
        <w:rPr>
          <w:sz w:val="28"/>
          <w:szCs w:val="28"/>
          <w:u w:val="single"/>
        </w:rPr>
        <w:t> </w:t>
      </w:r>
      <w:r w:rsidRPr="00173A57">
        <w:rPr>
          <w:sz w:val="28"/>
          <w:szCs w:val="28"/>
          <w:u w:val="single"/>
          <w:lang w:val="uk-UA"/>
        </w:rPr>
        <w:t>м</w:t>
      </w:r>
      <w:proofErr w:type="spellStart"/>
      <w:r w:rsidRPr="00173A57">
        <w:rPr>
          <w:sz w:val="28"/>
          <w:szCs w:val="28"/>
          <w:u w:val="single"/>
        </w:rPr>
        <w:t>ісячний</w:t>
      </w:r>
      <w:proofErr w:type="spellEnd"/>
      <w:r w:rsidRPr="00173A57">
        <w:rPr>
          <w:sz w:val="28"/>
          <w:szCs w:val="28"/>
          <w:u w:val="single"/>
          <w:lang w:val="uk-UA"/>
        </w:rPr>
        <w:t>»</w:t>
      </w:r>
      <w:r w:rsidRPr="00173A57">
        <w:rPr>
          <w:sz w:val="28"/>
          <w:szCs w:val="28"/>
          <w:u w:val="single"/>
        </w:rPr>
        <w:t xml:space="preserve"> з </w:t>
      </w:r>
      <w:proofErr w:type="spellStart"/>
      <w:r w:rsidRPr="00173A57">
        <w:rPr>
          <w:sz w:val="28"/>
          <w:szCs w:val="28"/>
          <w:u w:val="single"/>
        </w:rPr>
        <w:t>травня</w:t>
      </w:r>
      <w:proofErr w:type="spellEnd"/>
      <w:r w:rsidRPr="00173A57">
        <w:rPr>
          <w:sz w:val="28"/>
          <w:szCs w:val="28"/>
          <w:u w:val="single"/>
        </w:rPr>
        <w:t xml:space="preserve"> 2021 року </w:t>
      </w:r>
      <w:proofErr w:type="spellStart"/>
      <w:r w:rsidRPr="00173A57">
        <w:rPr>
          <w:sz w:val="28"/>
          <w:szCs w:val="28"/>
          <w:u w:val="single"/>
        </w:rPr>
        <w:t>споживачу</w:t>
      </w:r>
      <w:proofErr w:type="spellEnd"/>
      <w:r w:rsidRPr="00173A57">
        <w:rPr>
          <w:sz w:val="28"/>
          <w:szCs w:val="28"/>
          <w:u w:val="single"/>
        </w:rPr>
        <w:t xml:space="preserve"> </w:t>
      </w:r>
      <w:proofErr w:type="spellStart"/>
      <w:r w:rsidRPr="00173A57">
        <w:rPr>
          <w:sz w:val="28"/>
          <w:szCs w:val="28"/>
          <w:u w:val="single"/>
        </w:rPr>
        <w:t>необхідно</w:t>
      </w:r>
      <w:proofErr w:type="spellEnd"/>
      <w:r w:rsidRPr="00173A57">
        <w:rPr>
          <w:sz w:val="28"/>
          <w:szCs w:val="28"/>
          <w:u w:val="single"/>
        </w:rPr>
        <w:t xml:space="preserve"> подати </w:t>
      </w:r>
      <w:proofErr w:type="spellStart"/>
      <w:r w:rsidRPr="00173A57">
        <w:rPr>
          <w:sz w:val="28"/>
          <w:szCs w:val="28"/>
          <w:u w:val="single"/>
        </w:rPr>
        <w:t>нову</w:t>
      </w:r>
      <w:proofErr w:type="spellEnd"/>
      <w:r w:rsidRPr="00173A57">
        <w:rPr>
          <w:sz w:val="28"/>
          <w:szCs w:val="28"/>
          <w:u w:val="single"/>
        </w:rPr>
        <w:t xml:space="preserve"> </w:t>
      </w:r>
      <w:proofErr w:type="spellStart"/>
      <w:r w:rsidRPr="00173A57">
        <w:rPr>
          <w:sz w:val="28"/>
          <w:szCs w:val="28"/>
          <w:u w:val="single"/>
        </w:rPr>
        <w:t>заяву</w:t>
      </w:r>
      <w:proofErr w:type="spellEnd"/>
      <w:r w:rsidRPr="00173A57">
        <w:rPr>
          <w:sz w:val="28"/>
          <w:szCs w:val="28"/>
          <w:u w:val="single"/>
        </w:rPr>
        <w:t xml:space="preserve"> </w:t>
      </w:r>
      <w:proofErr w:type="spellStart"/>
      <w:r w:rsidRPr="00173A57">
        <w:rPr>
          <w:sz w:val="28"/>
          <w:szCs w:val="28"/>
          <w:u w:val="single"/>
        </w:rPr>
        <w:t>приєднання</w:t>
      </w:r>
      <w:proofErr w:type="spellEnd"/>
      <w:r w:rsidRPr="00173A57">
        <w:rPr>
          <w:sz w:val="28"/>
          <w:szCs w:val="28"/>
          <w:u w:val="single"/>
          <w:lang w:val="uk-UA"/>
        </w:rPr>
        <w:t>.</w:t>
      </w:r>
      <w:r w:rsidRPr="00173A57">
        <w:rPr>
          <w:sz w:val="28"/>
          <w:szCs w:val="28"/>
          <w:u w:val="single"/>
        </w:rPr>
        <w:t xml:space="preserve"> </w:t>
      </w:r>
    </w:p>
    <w:p w:rsidR="004C77C7" w:rsidRPr="004C77C7" w:rsidRDefault="004C77C7" w:rsidP="004C77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6"/>
        <w:tblW w:w="1040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55"/>
      </w:tblGrid>
      <w:tr w:rsidR="004C77C7" w:rsidTr="00F875F7">
        <w:tc>
          <w:tcPr>
            <w:tcW w:w="5245" w:type="dxa"/>
          </w:tcPr>
          <w:p w:rsidR="004C77C7" w:rsidRPr="004C77C7" w:rsidRDefault="004C77C7" w:rsidP="00BC0235">
            <w:pPr>
              <w:pStyle w:val="a3"/>
              <w:jc w:val="center"/>
              <w:rPr>
                <w:rStyle w:val="a4"/>
                <w:bCs w:val="0"/>
                <w:sz w:val="42"/>
                <w:szCs w:val="42"/>
                <w:lang w:val="uk-UA"/>
              </w:rPr>
            </w:pPr>
            <w:r w:rsidRPr="00B233C8">
              <w:rPr>
                <w:rStyle w:val="a4"/>
                <w:bCs w:val="0"/>
                <w:sz w:val="42"/>
                <w:szCs w:val="42"/>
              </w:rPr>
              <w:t xml:space="preserve">Тариф </w:t>
            </w:r>
            <w:proofErr w:type="spellStart"/>
            <w:proofErr w:type="gramStart"/>
            <w:r w:rsidRPr="00B233C8">
              <w:rPr>
                <w:rStyle w:val="a4"/>
                <w:bCs w:val="0"/>
                <w:sz w:val="42"/>
                <w:szCs w:val="42"/>
              </w:rPr>
              <w:t>р</w:t>
            </w:r>
            <w:proofErr w:type="gramEnd"/>
            <w:r w:rsidRPr="00B233C8">
              <w:rPr>
                <w:rStyle w:val="a4"/>
                <w:bCs w:val="0"/>
                <w:sz w:val="42"/>
                <w:szCs w:val="42"/>
              </w:rPr>
              <w:t>ічний</w:t>
            </w:r>
            <w:proofErr w:type="spellEnd"/>
          </w:p>
          <w:p w:rsidR="004C77C7" w:rsidRPr="004C77C7" w:rsidRDefault="00BC0235" w:rsidP="00BC0235">
            <w:pPr>
              <w:pStyle w:val="a3"/>
              <w:ind w:right="60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ц</w:t>
            </w:r>
            <w:r w:rsidRPr="00BC0235">
              <w:rPr>
                <w:sz w:val="30"/>
                <w:szCs w:val="30"/>
                <w:lang w:val="uk-UA"/>
              </w:rPr>
              <w:t>іна природного газу з ПДВ, грн.</w:t>
            </w:r>
            <w:r>
              <w:rPr>
                <w:sz w:val="30"/>
                <w:szCs w:val="30"/>
                <w:lang w:val="uk-UA"/>
              </w:rPr>
              <w:t>/</w:t>
            </w:r>
            <w:proofErr w:type="spellStart"/>
            <w:r>
              <w:rPr>
                <w:sz w:val="30"/>
                <w:szCs w:val="30"/>
                <w:lang w:val="uk-UA"/>
              </w:rPr>
              <w:t>куб.</w:t>
            </w:r>
            <w:r w:rsidRPr="00BC0235">
              <w:rPr>
                <w:sz w:val="30"/>
                <w:szCs w:val="30"/>
                <w:lang w:val="uk-UA"/>
              </w:rPr>
              <w:t>м</w:t>
            </w:r>
            <w:proofErr w:type="spellEnd"/>
            <w:r>
              <w:rPr>
                <w:sz w:val="30"/>
                <w:szCs w:val="30"/>
                <w:lang w:val="uk-UA"/>
              </w:rPr>
              <w:t>.</w:t>
            </w:r>
            <w:r w:rsidRPr="00BC0235">
              <w:rPr>
                <w:sz w:val="30"/>
                <w:szCs w:val="30"/>
                <w:lang w:val="uk-UA"/>
              </w:rPr>
              <w:t xml:space="preserve"> </w:t>
            </w:r>
            <w:r w:rsidR="004C77C7">
              <w:rPr>
                <w:sz w:val="30"/>
                <w:szCs w:val="30"/>
                <w:lang w:val="uk-UA"/>
              </w:rPr>
              <w:t>(без тарифу на розподіл природного газу)</w:t>
            </w:r>
          </w:p>
        </w:tc>
        <w:tc>
          <w:tcPr>
            <w:tcW w:w="5155" w:type="dxa"/>
          </w:tcPr>
          <w:p w:rsidR="004C77C7" w:rsidRPr="00397E1C" w:rsidRDefault="004C77C7" w:rsidP="00BC0235">
            <w:pPr>
              <w:pStyle w:val="a3"/>
              <w:jc w:val="center"/>
              <w:rPr>
                <w:lang w:val="uk-UA"/>
              </w:rPr>
            </w:pPr>
            <w:r>
              <w:rPr>
                <w:rStyle w:val="a4"/>
                <w:sz w:val="42"/>
                <w:szCs w:val="42"/>
              </w:rPr>
              <w:t xml:space="preserve">Тариф </w:t>
            </w:r>
            <w:proofErr w:type="gramStart"/>
            <w:r>
              <w:rPr>
                <w:rStyle w:val="a4"/>
                <w:sz w:val="42"/>
                <w:szCs w:val="42"/>
                <w:lang w:val="uk-UA"/>
              </w:rPr>
              <w:t>м</w:t>
            </w:r>
            <w:proofErr w:type="gramEnd"/>
            <w:r>
              <w:rPr>
                <w:rStyle w:val="a4"/>
                <w:sz w:val="42"/>
                <w:szCs w:val="42"/>
                <w:lang w:val="uk-UA"/>
              </w:rPr>
              <w:t>ісячний</w:t>
            </w:r>
          </w:p>
          <w:p w:rsidR="004C77C7" w:rsidRDefault="00BC0235" w:rsidP="00BC0235">
            <w:pPr>
              <w:pStyle w:val="a3"/>
              <w:ind w:left="511" w:right="600" w:hanging="5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uk-UA"/>
              </w:rPr>
              <w:t>ц</w:t>
            </w:r>
            <w:r w:rsidRPr="00BC0235">
              <w:rPr>
                <w:sz w:val="30"/>
                <w:szCs w:val="30"/>
                <w:lang w:val="uk-UA"/>
              </w:rPr>
              <w:t>іна п</w:t>
            </w:r>
            <w:r>
              <w:rPr>
                <w:sz w:val="30"/>
                <w:szCs w:val="30"/>
                <w:lang w:val="uk-UA"/>
              </w:rPr>
              <w:t>риродного газу з ПДВ, грн./</w:t>
            </w:r>
            <w:proofErr w:type="spellStart"/>
            <w:r w:rsidRPr="00BC0235">
              <w:rPr>
                <w:sz w:val="30"/>
                <w:szCs w:val="30"/>
                <w:lang w:val="uk-UA"/>
              </w:rPr>
              <w:t>куб</w:t>
            </w:r>
            <w:r>
              <w:rPr>
                <w:sz w:val="30"/>
                <w:szCs w:val="30"/>
                <w:lang w:val="uk-UA"/>
              </w:rPr>
              <w:t>.</w:t>
            </w:r>
            <w:r w:rsidRPr="00BC0235">
              <w:rPr>
                <w:sz w:val="30"/>
                <w:szCs w:val="30"/>
                <w:lang w:val="uk-UA"/>
              </w:rPr>
              <w:t>м</w:t>
            </w:r>
            <w:proofErr w:type="spellEnd"/>
            <w:r>
              <w:rPr>
                <w:sz w:val="30"/>
                <w:szCs w:val="30"/>
                <w:lang w:val="uk-UA"/>
              </w:rPr>
              <w:t>.</w:t>
            </w:r>
            <w:r w:rsidRPr="00BC0235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>(без тарифу на розподіл природного газу)</w:t>
            </w:r>
          </w:p>
        </w:tc>
      </w:tr>
      <w:tr w:rsidR="004C77C7" w:rsidTr="00F875F7">
        <w:tc>
          <w:tcPr>
            <w:tcW w:w="5245" w:type="dxa"/>
          </w:tcPr>
          <w:p w:rsidR="004C77C7" w:rsidRDefault="00007174" w:rsidP="00007174">
            <w:pPr>
              <w:pStyle w:val="a3"/>
              <w:tabs>
                <w:tab w:val="left" w:pos="2316"/>
              </w:tabs>
              <w:ind w:left="-884" w:right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  <w:t>10,50</w:t>
            </w:r>
          </w:p>
        </w:tc>
        <w:tc>
          <w:tcPr>
            <w:tcW w:w="5155" w:type="dxa"/>
          </w:tcPr>
          <w:p w:rsidR="004C77C7" w:rsidRDefault="00007174" w:rsidP="00007174">
            <w:pPr>
              <w:pStyle w:val="a3"/>
              <w:ind w:right="60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9,50</w:t>
            </w:r>
          </w:p>
        </w:tc>
      </w:tr>
    </w:tbl>
    <w:p w:rsidR="00086FBE" w:rsidRPr="00173A57" w:rsidRDefault="00086FBE" w:rsidP="00173A57">
      <w:pPr>
        <w:pStyle w:val="a3"/>
        <w:ind w:right="600"/>
        <w:rPr>
          <w:sz w:val="30"/>
          <w:szCs w:val="30"/>
          <w:lang w:val="uk-UA"/>
        </w:rPr>
      </w:pPr>
      <w:bookmarkStart w:id="0" w:name="_GoBack"/>
      <w:bookmarkEnd w:id="0"/>
    </w:p>
    <w:sectPr w:rsidR="00086FBE" w:rsidRPr="00173A57" w:rsidSect="00D97A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21FE"/>
    <w:multiLevelType w:val="multilevel"/>
    <w:tmpl w:val="964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40F38"/>
    <w:multiLevelType w:val="multilevel"/>
    <w:tmpl w:val="EE0C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F"/>
    <w:rsid w:val="00007174"/>
    <w:rsid w:val="00086FBE"/>
    <w:rsid w:val="000C49B6"/>
    <w:rsid w:val="00173A57"/>
    <w:rsid w:val="00397E1C"/>
    <w:rsid w:val="004C77C7"/>
    <w:rsid w:val="007B3D8A"/>
    <w:rsid w:val="00835EEE"/>
    <w:rsid w:val="00843B1A"/>
    <w:rsid w:val="0088383F"/>
    <w:rsid w:val="00B233C8"/>
    <w:rsid w:val="00BC0235"/>
    <w:rsid w:val="00D97AA9"/>
    <w:rsid w:val="00F01730"/>
    <w:rsid w:val="00F875F7"/>
    <w:rsid w:val="00F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E1C"/>
    <w:rPr>
      <w:b/>
      <w:bCs/>
    </w:rPr>
  </w:style>
  <w:style w:type="character" w:styleId="a5">
    <w:name w:val="Hyperlink"/>
    <w:basedOn w:val="a0"/>
    <w:uiPriority w:val="99"/>
    <w:semiHidden/>
    <w:unhideWhenUsed/>
    <w:rsid w:val="00397E1C"/>
    <w:rPr>
      <w:color w:val="0000FF"/>
      <w:u w:val="single"/>
    </w:rPr>
  </w:style>
  <w:style w:type="table" w:styleId="a6">
    <w:name w:val="Table Grid"/>
    <w:basedOn w:val="a1"/>
    <w:uiPriority w:val="59"/>
    <w:rsid w:val="004C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E1C"/>
    <w:rPr>
      <w:b/>
      <w:bCs/>
    </w:rPr>
  </w:style>
  <w:style w:type="character" w:styleId="a5">
    <w:name w:val="Hyperlink"/>
    <w:basedOn w:val="a0"/>
    <w:uiPriority w:val="99"/>
    <w:semiHidden/>
    <w:unhideWhenUsed/>
    <w:rsid w:val="00397E1C"/>
    <w:rPr>
      <w:color w:val="0000FF"/>
      <w:u w:val="single"/>
    </w:rPr>
  </w:style>
  <w:style w:type="table" w:styleId="a6">
    <w:name w:val="Table Grid"/>
    <w:basedOn w:val="a1"/>
    <w:uiPriority w:val="59"/>
    <w:rsid w:val="004C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umya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2021-04-25T16:31:00Z</dcterms:created>
  <dcterms:modified xsi:type="dcterms:W3CDTF">2021-04-25T19:08:00Z</dcterms:modified>
</cp:coreProperties>
</file>